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12"/>
        <w:ind w:left="284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Телефон приёмной комиссии: 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36-82-32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(с </w:t>
      </w:r>
      <w:r>
        <w:rPr>
          <w:rFonts w:cs="Times New Roman" w:ascii="Times New Roman" w:hAnsi="Times New Roman"/>
          <w:sz w:val="32"/>
          <w:szCs w:val="32"/>
          <w:lang w:val="ru-RU"/>
        </w:rPr>
        <w:t>19</w:t>
      </w:r>
      <w:r>
        <w:rPr>
          <w:rFonts w:cs="Times New Roman" w:ascii="Times New Roman" w:hAnsi="Times New Roman"/>
          <w:sz w:val="32"/>
          <w:szCs w:val="32"/>
        </w:rPr>
        <w:t xml:space="preserve"> июня – 25 августа)</w:t>
        <w:br/>
        <w:t>Электронный адрес:</w:t>
      </w:r>
      <w:r>
        <w:rPr>
          <w:color w:val="FFFFFF"/>
          <w:sz w:val="36"/>
          <w:szCs w:val="36"/>
          <w:shd w:fill="B7D5DA" w:val="clear"/>
        </w:rPr>
        <w:t xml:space="preserve"> </w:t>
      </w:r>
      <w:r>
        <w:rPr>
          <w:rStyle w:val="Strong"/>
          <w:color w:val="FFFFFF"/>
          <w:sz w:val="36"/>
          <w:szCs w:val="36"/>
          <w:shd w:fill="B7D5DA" w:val="clear"/>
        </w:rPr>
        <w:t> </w:t>
      </w:r>
      <w:r>
        <w:rPr>
          <w:rStyle w:val="Style14"/>
          <w:b/>
          <w:bCs/>
          <w:sz w:val="36"/>
          <w:szCs w:val="36"/>
          <w:shd w:fill="B7D5DA" w:val="clear"/>
        </w:rPr>
        <w:t>priem@t</w:t>
      </w:r>
      <w:r>
        <w:rPr>
          <w:rStyle w:val="Strong"/>
          <w:sz w:val="36"/>
          <w:szCs w:val="36"/>
          <w:shd w:fill="B7D5DA" w:val="clear"/>
        </w:rPr>
        <w:t>vermedcollege.ru</w:t>
      </w:r>
      <w:r>
        <w:rPr>
          <w:rFonts w:cs="Times New Roman" w:ascii="Times New Roman" w:hAnsi="Times New Roman"/>
          <w:sz w:val="32"/>
          <w:szCs w:val="32"/>
        </w:rPr>
        <w:t xml:space="preserve"> (круглый год)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Приём в Тверской медицинский колледж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  <w:u w:val="single"/>
          <w:lang w:val="ru-RU"/>
        </w:rPr>
      </w:pPr>
      <w:r>
        <w:rPr>
          <w:rFonts w:cs="Times New Roman" w:ascii="Times New Roman" w:hAnsi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</w:p>
    <w:tbl>
      <w:tblPr>
        <w:tblStyle w:val="3"/>
        <w:tblpPr w:bottomFromText="200" w:horzAnchor="margin" w:leftFromText="180" w:rightFromText="180" w:tblpX="392" w:tblpY="349" w:topFromText="0" w:vertAnchor="text"/>
        <w:tblW w:w="98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3257"/>
        <w:gridCol w:w="1559"/>
        <w:gridCol w:w="1275"/>
        <w:gridCol w:w="1277"/>
      </w:tblGrid>
      <w:tr>
        <w:trPr>
          <w:trHeight w:val="437" w:hRule="atLeast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Специальность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Срок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Количество мест</w:t>
            </w:r>
          </w:p>
        </w:tc>
      </w:tr>
      <w:tr>
        <w:trPr>
          <w:trHeight w:val="471" w:hRule="atLeast"/>
        </w:trPr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3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Платное</w:t>
            </w:r>
          </w:p>
        </w:tc>
      </w:tr>
      <w:tr>
        <w:trPr>
          <w:trHeight w:val="408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Сестринское дело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15</w:t>
            </w:r>
          </w:p>
        </w:tc>
      </w:tr>
      <w:tr>
        <w:trPr>
          <w:trHeight w:val="408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Сестринское дело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30</w:t>
            </w:r>
          </w:p>
        </w:tc>
      </w:tr>
      <w:tr>
        <w:trPr>
          <w:trHeight w:val="408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Лабораторная диагностика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>
        <w:trPr>
          <w:trHeight w:val="576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Акушерское дело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2 г.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06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>
        <w:trPr>
          <w:trHeight w:val="628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Лечебное дело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</w:t>
            </w:r>
          </w:p>
        </w:tc>
      </w:tr>
      <w:tr>
        <w:trPr>
          <w:trHeight w:val="538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Фармация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60</w:t>
            </w:r>
          </w:p>
        </w:tc>
      </w:tr>
      <w:tr>
        <w:trPr>
          <w:trHeight w:val="746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</w:rPr>
              <w:t>Стоматология ортопедическая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Лепка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25</w:t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u w:val="single"/>
        </w:rPr>
        <w:t>Форма обучения только очная.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  <w:br/>
      </w:r>
      <w:r>
        <w:rPr>
          <w:rFonts w:cs="Times New Roman" w:ascii="Times New Roman" w:hAnsi="Times New Roman"/>
          <w:sz w:val="28"/>
        </w:rPr>
        <w:t>- основное общее образование на специальности: «сестринское дело», «лабораторная диагностика»;</w:t>
      </w:r>
    </w:p>
    <w:p>
      <w:pPr>
        <w:pStyle w:val="ListParagraph"/>
        <w:numPr>
          <w:ilvl w:val="0"/>
          <w:numId w:val="0"/>
        </w:numPr>
        <w:ind w:left="360" w:firstLine="1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среднее общее образование на специальности: «сестринское дело», «лечебное дело», «акушерское дело», «фармация», «стоматология ортопедическая»</w:t>
        <w:br/>
        <w:br/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Вступительные испытания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cs="Times New Roman" w:ascii="Times New Roman" w:hAnsi="Times New Roman"/>
          <w:sz w:val="28"/>
          <w:lang w:val="ru-RU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1</w:t>
      </w:r>
      <w:r>
        <w:rPr>
          <w:rFonts w:cs="Times New Roman" w:ascii="Times New Roman" w:hAnsi="Times New Roman"/>
          <w:sz w:val="28"/>
          <w:lang w:val="ru-RU"/>
        </w:rPr>
        <w:t>0</w:t>
      </w:r>
      <w:r>
        <w:rPr>
          <w:rFonts w:cs="Times New Roman" w:ascii="Times New Roman" w:hAnsi="Times New Roman"/>
          <w:sz w:val="28"/>
        </w:rPr>
        <w:t xml:space="preserve"> июля по 2</w:t>
      </w:r>
      <w:r>
        <w:rPr>
          <w:rFonts w:cs="Times New Roman" w:ascii="Times New Roman" w:hAnsi="Times New Roman"/>
          <w:sz w:val="28"/>
          <w:lang w:val="ru-RU"/>
        </w:rPr>
        <w:t>1</w:t>
      </w:r>
      <w:r>
        <w:rPr>
          <w:rFonts w:cs="Times New Roman" w:ascii="Times New Roman" w:hAnsi="Times New Roman"/>
          <w:sz w:val="28"/>
        </w:rPr>
        <w:t xml:space="preserve"> июля 202</w:t>
      </w:r>
      <w:r>
        <w:rPr>
          <w:rFonts w:cs="Times New Roman" w:ascii="Times New Roman" w:hAnsi="Times New Roman"/>
          <w:sz w:val="28"/>
          <w:lang w:val="ru-RU"/>
        </w:rPr>
        <w:t>3</w:t>
      </w:r>
      <w:r>
        <w:rPr>
          <w:rFonts w:cs="Times New Roman" w:ascii="Times New Roman" w:hAnsi="Times New Roman"/>
          <w:sz w:val="28"/>
        </w:rPr>
        <w:t xml:space="preserve"> года.</w:t>
        <w:br/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  <w:br/>
        <w:t xml:space="preserve">При поступлении на специальности: «фармация», «лабораторная диагностика» вступительные испытания не проводятся, зачисление по среднему баллу аттестата. </w:t>
      </w:r>
    </w:p>
    <w:p>
      <w:pPr>
        <w:pStyle w:val="ListParagraph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cs="Times New Roman" w:ascii="Times New Roman" w:hAnsi="Times New Roman"/>
          <w:sz w:val="28"/>
          <w:lang w:val="ru-RU"/>
        </w:rPr>
        <w:t>.</w:t>
      </w:r>
    </w:p>
    <w:p>
      <w:pPr>
        <w:pStyle w:val="NoSpacing"/>
        <w:ind w:left="720" w:hanging="0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Проходные баллы за 20</w:t>
      </w:r>
      <w:r>
        <w:rPr>
          <w:rFonts w:cs="Times New Roman" w:ascii="Times New Roman" w:hAnsi="Times New Roman"/>
          <w:b/>
          <w:sz w:val="28"/>
          <w:szCs w:val="32"/>
          <w:u w:val="single"/>
          <w:lang w:val="ru-RU"/>
        </w:rPr>
        <w:t>21</w:t>
      </w:r>
      <w:r>
        <w:rPr>
          <w:rFonts w:cs="Times New Roman" w:ascii="Times New Roman" w:hAnsi="Times New Roman"/>
          <w:b/>
          <w:sz w:val="28"/>
          <w:szCs w:val="32"/>
          <w:u w:val="single"/>
        </w:rPr>
        <w:t>, 202</w:t>
      </w:r>
      <w:r>
        <w:rPr>
          <w:rFonts w:cs="Times New Roman" w:ascii="Times New Roman" w:hAnsi="Times New Roman"/>
          <w:b/>
          <w:sz w:val="28"/>
          <w:szCs w:val="32"/>
          <w:u w:val="single"/>
          <w:lang w:val="ru-RU"/>
        </w:rPr>
        <w:t>2</w:t>
      </w:r>
      <w:r>
        <w:rPr>
          <w:rFonts w:cs="Times New Roman" w:ascii="Times New Roman" w:hAnsi="Times New Roman"/>
          <w:b/>
          <w:sz w:val="28"/>
          <w:szCs w:val="32"/>
          <w:u w:val="single"/>
        </w:rPr>
        <w:t xml:space="preserve"> годы</w:t>
      </w:r>
    </w:p>
    <w:p>
      <w:pPr>
        <w:pStyle w:val="NoSpacing"/>
        <w:ind w:left="72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9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559"/>
        <w:gridCol w:w="1419"/>
        <w:gridCol w:w="1559"/>
        <w:gridCol w:w="1417"/>
      </w:tblGrid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</w:r>
          </w:p>
        </w:tc>
        <w:tc>
          <w:tcPr>
            <w:tcW w:w="29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202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202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 xml:space="preserve"> год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9 КЛАССОВ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Бюджет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Платное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Бюджет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Платное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Лабораторная диагностика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4,36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4,27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4,47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4,40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Сестринское дело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4,79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4,50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4,95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4,60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</w:rPr>
              <w:t>11 КЛАССОВ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</w:rPr>
            </w:pPr>
            <w:r>
              <w:rPr>
                <w:kern w:val="0"/>
                <w:sz w:val="28"/>
                <w:highlight w:val="yellow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Акушерское дело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4,20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3,79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4,11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3,82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Лечебное дело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4,69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4,</w:t>
            </w:r>
            <w:r>
              <w:rPr>
                <w:kern w:val="0"/>
                <w:sz w:val="28"/>
                <w:lang w:val="ru-RU"/>
              </w:rPr>
              <w:t>40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4,71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</w:rPr>
              <w:t>4,</w:t>
            </w:r>
            <w:r>
              <w:rPr>
                <w:kern w:val="0"/>
                <w:sz w:val="28"/>
                <w:lang w:val="ru-RU"/>
              </w:rPr>
              <w:t>06</w:t>
            </w:r>
          </w:p>
        </w:tc>
      </w:tr>
      <w:tr>
        <w:trPr>
          <w:trHeight w:val="256" w:hRule="atLeast"/>
        </w:trPr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Сестринское дело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4,07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3,87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4,15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4,17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Фармация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-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3,</w:t>
            </w:r>
            <w:r>
              <w:rPr>
                <w:kern w:val="0"/>
                <w:sz w:val="28"/>
                <w:lang w:val="ru-RU"/>
              </w:rPr>
              <w:t>6</w:t>
            </w:r>
            <w:r>
              <w:rPr>
                <w:kern w:val="0"/>
                <w:sz w:val="28"/>
              </w:rPr>
              <w:t>7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highlight w:val="yellow"/>
              </w:rPr>
            </w:pPr>
            <w:r>
              <w:rPr>
                <w:kern w:val="0"/>
                <w:sz w:val="28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</w:rPr>
              <w:t>3,7</w:t>
            </w:r>
            <w:r>
              <w:rPr>
                <w:kern w:val="0"/>
                <w:sz w:val="28"/>
                <w:lang w:val="ru-RU"/>
              </w:rPr>
              <w:t>0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Стоматология ортопедическая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-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ru-RU"/>
              </w:rPr>
              <w:t>4,40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ru-RU"/>
              </w:rPr>
              <w:t>4,29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Документы для поступления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>
      <w:pPr>
        <w:pStyle w:val="ListParagraph"/>
        <w:keepNext w:val="false"/>
        <w:keepLines w:val="false"/>
        <w:pageBreakBefore w:val="false"/>
        <w:overflowPunct w:val="false"/>
        <w:bidi w:val="0"/>
        <w:snapToGrid w:val="true"/>
        <w:spacing w:lineRule="auto" w:line="240" w:before="0" w:after="0"/>
        <w:ind w:left="0" w:firstLine="56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</w:t>
      </w:r>
      <w:r>
        <w:rPr>
          <w:rFonts w:cs="Times New Roman" w:ascii="Times New Roman" w:hAnsi="Times New Roman"/>
          <w:sz w:val="28"/>
          <w:szCs w:val="28"/>
        </w:rPr>
        <w:t>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</w:t>
      </w:r>
      <w:r>
        <w:rPr>
          <w:rFonts w:cs="Times New Roman" w:ascii="Times New Roman" w:hAnsi="Times New Roman"/>
          <w:sz w:val="28"/>
          <w:szCs w:val="28"/>
        </w:rPr>
        <w:t>окумент, удостоверяющий личность и гражданство (паспорт) + 1 копия (страница с личными данными и пропиской)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кроме случаев подачи заявления с использованием функционала ЕПГУ;</w:t>
      </w:r>
    </w:p>
    <w:p>
      <w:pPr>
        <w:pStyle w:val="ConsPlus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 w:before="0" w:after="0"/>
        <w:ind w:left="0" w:firstLine="560"/>
        <w:jc w:val="both"/>
        <w:textAlignment w:va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>
      <w:pPr>
        <w:pStyle w:val="ListParagraph"/>
        <w:keepNext w:val="false"/>
        <w:keepLines w:val="false"/>
        <w:pageBreakBefore w:val="false"/>
        <w:overflowPunct w:val="false"/>
        <w:bidi w:val="0"/>
        <w:snapToGrid w:val="true"/>
        <w:spacing w:lineRule="auto" w:line="240" w:before="0" w:after="0"/>
        <w:ind w:left="0" w:firstLine="56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 4 фотокарточки без головного убора размером 3х4 см; </w:t>
      </w:r>
    </w:p>
    <w:p>
      <w:pPr>
        <w:pStyle w:val="ListParagraph"/>
        <w:keepNext w:val="false"/>
        <w:keepLines w:val="false"/>
        <w:pageBreakBefore w:val="false"/>
        <w:overflowPunct w:val="false"/>
        <w:bidi w:val="0"/>
        <w:snapToGrid w:val="true"/>
        <w:spacing w:lineRule="auto" w:line="240" w:before="0" w:after="0"/>
        <w:ind w:left="0" w:firstLine="56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4. М</w:t>
      </w:r>
      <w:r>
        <w:rPr>
          <w:rFonts w:cs="Times New Roman" w:ascii="Times New Roman" w:hAnsi="Times New Roman"/>
          <w:sz w:val="28"/>
          <w:szCs w:val="28"/>
        </w:rPr>
        <w:t>едицинскую справку формы 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 с  отметкой о прохождении обязательного предварительного медицинского осмотра (с датами и наименованиями сделанных профилактических прививок);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*в случае изменения фамилии – свидетельство о браке или подтверждающая справка из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ЗАГС</w:t>
      </w:r>
      <w:r>
        <w:rPr>
          <w:rFonts w:cs="Times New Roman" w:ascii="Times New Roman" w:hAnsi="Times New Roman"/>
          <w:b/>
          <w:bCs/>
          <w:sz w:val="28"/>
          <w:szCs w:val="28"/>
        </w:rPr>
        <w:t>а;</w:t>
      </w:r>
    </w:p>
    <w:p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Прием документов на новый учебный год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cs="Times New Roman" w:ascii="Times New Roman" w:hAnsi="Times New Roman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cs="Times New Roman" w:ascii="Times New Roman" w:hAnsi="Times New Roman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июня до 15 августа (окончание приема 1</w:t>
      </w:r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августа в 1</w:t>
      </w:r>
      <w:r>
        <w:rPr>
          <w:rFonts w:cs="Times New Roman" w:ascii="Times New Roman" w:hAnsi="Times New Roman"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.00 по Московскому времени).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HTMLPreformatte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right"/>
        <w:rPr>
          <w:rStyle w:val="S10"/>
          <w:b/>
          <w:b/>
        </w:rPr>
      </w:pPr>
      <w:r>
        <w:rPr>
          <w:rFonts w:cs="Times New Roman" w:ascii="Times New Roman" w:hAnsi="Times New Roman"/>
          <w:sz w:val="24"/>
          <w:szCs w:val="24"/>
        </w:rPr>
        <w:t>Приложение № 19</w:t>
      </w:r>
    </w:p>
    <w:p>
      <w:pPr>
        <w:pStyle w:val="HTMLPreformatted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cs="Times New Roman" w:ascii="Times New Roman" w:hAnsi="Times New Roman"/>
          <w:sz w:val="24"/>
          <w:szCs w:val="24"/>
        </w:rPr>
        <w:t>к приказу Министерства</w:t>
      </w:r>
    </w:p>
    <w:p>
      <w:pPr>
        <w:pStyle w:val="HTMLPreformatted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cs="Times New Roman" w:ascii="Times New Roman" w:hAnsi="Times New Roman"/>
          <w:sz w:val="24"/>
          <w:szCs w:val="24"/>
        </w:rPr>
        <w:t>здравоохранения РФ</w:t>
      </w:r>
    </w:p>
    <w:p>
      <w:pPr>
        <w:pStyle w:val="HTMLPreformatted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cs="Times New Roman" w:ascii="Times New Roman" w:hAnsi="Times New Roman"/>
          <w:sz w:val="24"/>
          <w:szCs w:val="24"/>
        </w:rPr>
        <w:t>от 15 декабря 2014 г. № 834н</w:t>
      </w:r>
    </w:p>
    <w:tbl>
      <w:tblPr>
        <w:tblStyle w:val="9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8"/>
      </w:tblGrid>
      <w:tr>
        <w:trPr/>
        <w:tc>
          <w:tcPr>
            <w:tcW w:w="5068" w:type="dxa"/>
            <w:tcBorders/>
          </w:tcPr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8" w:type="dxa"/>
            <w:tcBorders/>
          </w:tcPr>
          <w:p>
            <w:pPr>
              <w:pStyle w:val="HTMLPreformatted"/>
              <w:widowControl/>
              <w:spacing w:before="0" w:after="0"/>
              <w:jc w:val="left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Код формы по ОКУД ………………..</w:t>
            </w:r>
          </w:p>
          <w:p>
            <w:pPr>
              <w:pStyle w:val="HTMLPreformatted"/>
              <w:widowControl/>
              <w:spacing w:before="0" w:after="0"/>
              <w:jc w:val="left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Код учреждения по ОКПО ………….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Адрес</w:t>
            </w:r>
          </w:p>
        </w:tc>
        <w:tc>
          <w:tcPr>
            <w:tcW w:w="5068" w:type="dxa"/>
            <w:tcBorders/>
          </w:tcPr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Медицинская документация</w:t>
            </w:r>
          </w:p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Форма 086/у</w:t>
            </w:r>
          </w:p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Утверждена приказом Минздрава России</w:t>
            </w:r>
          </w:p>
          <w:p>
            <w:pPr>
              <w:pStyle w:val="HTMLPreformatted"/>
              <w:widowControl/>
              <w:spacing w:before="0" w:after="0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0"/>
                <w:rFonts w:cs="Times New Roman" w:ascii="Times New Roman" w:hAnsi="Times New Roman"/>
                <w:kern w:val="0"/>
                <w:sz w:val="24"/>
                <w:szCs w:val="24"/>
              </w:rPr>
              <w:t>от 15 декабря 2014 г. № 834н</w:t>
            </w:r>
          </w:p>
        </w:tc>
      </w:tr>
    </w:tbl>
    <w:p>
      <w:pPr>
        <w:pStyle w:val="HTMLPreformatted"/>
        <w:rPr>
          <w:rStyle w:val="S10"/>
          <w:rFonts w:ascii="Times New Roman" w:hAnsi="Times New Roman" w:cs="Times New Roman"/>
          <w:b/>
          <w:b/>
        </w:rPr>
      </w:pPr>
      <w:r>
        <w:rPr>
          <w:rStyle w:val="S10"/>
          <w:rFonts w:cs="Times New Roman" w:ascii="Times New Roman" w:hAnsi="Times New Roman"/>
          <w:sz w:val="24"/>
          <w:szCs w:val="24"/>
        </w:rPr>
        <w:br/>
      </w:r>
    </w:p>
    <w:p>
      <w:pPr>
        <w:pStyle w:val="HTMLPreformatted"/>
        <w:jc w:val="center"/>
        <w:rPr>
          <w:rFonts w:ascii="Times New Roman" w:hAnsi="Times New Roman" w:cs="Times New Roman"/>
          <w:b/>
          <w:b/>
        </w:rPr>
      </w:pPr>
      <w:r>
        <w:rPr>
          <w:rStyle w:val="S10"/>
          <w:rFonts w:cs="Times New Roman" w:ascii="Times New Roman" w:hAnsi="Times New Roman"/>
          <w:b/>
        </w:rPr>
        <w:t>МЕДИЦИНСКАЯ СПРАВКА N ____</w:t>
      </w:r>
    </w:p>
    <w:p>
      <w:pPr>
        <w:pStyle w:val="HTMLPreformatted"/>
        <w:jc w:val="center"/>
        <w:rPr>
          <w:rFonts w:ascii="Times New Roman" w:hAnsi="Times New Roman" w:cs="Times New Roman"/>
          <w:b/>
          <w:b/>
        </w:rPr>
      </w:pPr>
      <w:r>
        <w:rPr>
          <w:rStyle w:val="S10"/>
          <w:rFonts w:cs="Times New Roman" w:ascii="Times New Roman" w:hAnsi="Times New Roman"/>
          <w:b/>
        </w:rPr>
        <w:t>(врачебное профессионально-консультативное заключение)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Фамилия, имя, отчество 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Дата рождения: число _____ месяц _________________ год 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Место регистрации: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субъект Российской Федерации 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район ____________________________ город 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населенный пункт 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улица ________________________________________ дом 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квартира 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Место учебы, работы 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Перенесенные заболевания 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Профилактические прививки 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/>
        <w:br/>
        <w:t xml:space="preserve">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оборотная сторона ф. N 086/у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Объективные данные и состояние здоровья: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Врач-терапевт 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Врач-хирург 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Врач-невролог 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Врач-оториноларинголог 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Врач-офтальмолог 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флюорографии 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лабораторных исследований 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Заключение о профессиональной пригодности 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 справки: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"___"____________ 20__ г.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врача, выдавшего медицинскую справку 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врача 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 Главного врача медицинской организации 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Медицинская справка действительна в течение 6 месяцев со дня выдачи.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Примечание.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Данные лабораторных исследований включают: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флюорографии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Карта (выписка) профилактических прививок.</w:t>
      </w:r>
    </w:p>
    <w:p>
      <w:pPr>
        <w:pStyle w:val="NoSpacing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cs="Times New Roman" w:ascii="Times New Roman" w:hAnsi="Times New Roman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cs="Times New Roman" w:ascii="Times New Roman" w:hAnsi="Times New Roman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июня до 15 августа (окончание приема 1</w:t>
      </w:r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августа в 1</w:t>
      </w:r>
      <w:r>
        <w:rPr>
          <w:rFonts w:cs="Times New Roman" w:ascii="Times New Roman" w:hAnsi="Times New Roman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sz w:val="28"/>
          <w:szCs w:val="28"/>
        </w:rPr>
        <w:t>.00 по Московскому времени)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18" w:hanging="218"/>
        <w:jc w:val="both"/>
        <w:textAlignment w:va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Зачисление проводится только по оригиналам документов об образовании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а в </w:t>
      </w:r>
      <w:r>
        <w:rPr>
          <w:rFonts w:cs="Times New Roman" w:ascii="Times New Roman" w:hAnsi="Times New Roman"/>
          <w:sz w:val="28"/>
          <w:szCs w:val="28"/>
        </w:rPr>
        <w:t xml:space="preserve">случае подачи заявления с использованием функционала ЕПГУ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после </w:t>
      </w:r>
      <w:r>
        <w:rPr>
          <w:rFonts w:cs="Times New Roman" w:ascii="Times New Roman" w:hAnsi="Times New Roman"/>
          <w:sz w:val="28"/>
          <w:szCs w:val="28"/>
        </w:rPr>
        <w:t>подтвержде</w:t>
      </w:r>
      <w:r>
        <w:rPr>
          <w:rFonts w:cs="Times New Roman" w:ascii="Times New Roman" w:hAnsi="Times New Roman"/>
          <w:sz w:val="28"/>
          <w:szCs w:val="28"/>
          <w:lang w:val="ru-RU"/>
        </w:rPr>
        <w:t>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своего </w:t>
      </w:r>
      <w:r>
        <w:rPr>
          <w:rFonts w:cs="Times New Roman" w:ascii="Times New Roman" w:hAnsi="Times New Roman"/>
          <w:sz w:val="28"/>
          <w:szCs w:val="28"/>
        </w:rPr>
        <w:t>согласи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на зачисление в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колледж </w:t>
      </w:r>
      <w:r>
        <w:rPr>
          <w:rFonts w:cs="Times New Roman" w:ascii="Times New Roman" w:hAnsi="Times New Roman"/>
          <w:sz w:val="28"/>
          <w:szCs w:val="28"/>
        </w:rPr>
        <w:t>посредством функционала ЕПГУ в сроки, установленные для представления оригинала документа об образовании</w:t>
      </w:r>
      <w:r>
        <w:rPr>
          <w:rFonts w:cs="Times New Roman" w:ascii="Times New Roman" w:hAnsi="Times New Roman"/>
          <w:sz w:val="28"/>
          <w:szCs w:val="28"/>
        </w:rPr>
        <w:t xml:space="preserve">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cs="Times New Roman" w:ascii="Times New Roman" w:hAnsi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/>
        <w:ind w:left="220" w:firstLine="706"/>
        <w:jc w:val="both"/>
        <w:textAlignment w:va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Перенос вступительных испытаний на другую дату не производится.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помещении приёмной комиссии ведётся постоянное видеонаблюдение, все телефонные звонки актируются.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Spacing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240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Телефон приёмной комиссии: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36-82-32</w:t>
      </w:r>
      <w:r>
        <w:rPr>
          <w:rFonts w:cs="Times New Roman" w:ascii="Times New Roman" w:hAnsi="Times New Roman"/>
          <w:b/>
          <w:sz w:val="28"/>
          <w:szCs w:val="28"/>
        </w:rPr>
        <w:t xml:space="preserve"> (с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/>
          <w:sz w:val="28"/>
          <w:szCs w:val="28"/>
        </w:rPr>
        <w:t xml:space="preserve"> июня до 25 августа)</w:t>
      </w:r>
      <w:r>
        <w:rPr>
          <w:rFonts w:cs="Times New Roman" w:ascii="Times New Roman" w:hAnsi="Times New Roman"/>
          <w:sz w:val="28"/>
          <w:szCs w:val="28"/>
        </w:rPr>
        <w:t>,</w:t>
        <w:br/>
        <w:t>электронный адрес:</w:t>
      </w:r>
      <w:r>
        <w:rPr>
          <w:rFonts w:cs="Times New Roman" w:ascii="Times New Roman" w:hAnsi="Times New Roman"/>
          <w:b/>
          <w:iCs/>
          <w:sz w:val="32"/>
          <w:szCs w:val="32"/>
        </w:rPr>
        <w:t xml:space="preserve"> priem@</w:t>
      </w:r>
      <w:r>
        <w:rPr>
          <w:rFonts w:cs="Times New Roman" w:ascii="Times New Roman" w:hAnsi="Times New Roman"/>
          <w:i/>
          <w:iCs/>
          <w:sz w:val="32"/>
          <w:szCs w:val="32"/>
        </w:rPr>
        <w:t>t</w:t>
      </w:r>
      <w:r>
        <w:rPr>
          <w:rFonts w:cs="Times New Roman" w:ascii="Times New Roman" w:hAnsi="Times New Roman"/>
          <w:b/>
          <w:bCs/>
          <w:sz w:val="32"/>
          <w:szCs w:val="32"/>
        </w:rPr>
        <w:t>vermedcollege.ru</w:t>
      </w:r>
      <w:r>
        <w:rPr>
          <w:rStyle w:val="Style14"/>
          <w:b/>
          <w:bCs/>
          <w:sz w:val="36"/>
          <w:szCs w:val="36"/>
          <w:shd w:fill="B7D5DA" w:val="clear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для слепых: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для слабовидящих: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обеспечивается индивидуальное равномерное освещение не менее 300 люкс;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для глухих и слабослышащих: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медицинские противопоказания.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приказом Министерства здравоохранения и социального развития РФ от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Нарколепсия и катаплексия.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Алкоголизм, токсикомания, наркомания.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Злокачественные новообразования любой локализации 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После проведенного лечения вопрос решается индивидуально комиссией врачей-специалистов, профпатологом, онкологом.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Гипертоническая болезнь III стадии, 3 степени, риск IV.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Ишемическая болезнь сердца: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13.1. стенокардия ФК III - IV;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13.1.3. постинфарктный кардиосклероз, аневризма сердца.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Аневризмы и расслоения любых отделов аорты и артерий.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Активные формы туберкулеза любой локализации.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Неспецифический язвенный колит и болезнь Крона тяжелого течения.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Беременность и период лактации.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 для лиц, работающих в контакте с вредными и (или) опасными производственными факторами, указанными в Перечне факторов.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Глаукома любой стадии при нестабилизированном течении.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 медицинские противопоказания.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Заболевания и бактерионосительство: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Брюшной тиф, паратифы, сальмонеллез, дизентерия.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Гельминтозы.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Сифилис в заразном периоде.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Лепра.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Педикулез.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Озена.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0" w:qFormat="1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Pr>
      <w:i/>
      <w:iCs/>
    </w:rPr>
  </w:style>
  <w:style w:type="character" w:styleId="Style15">
    <w:name w:val="Интернет-ссылка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TML" w:customStyle="1">
    <w:name w:val="Стандартный HTML Знак"/>
    <w:basedOn w:val="DefaultParagraphFont"/>
    <w:link w:val="HTMLPreformatted"/>
    <w:uiPriority w:val="0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uiPriority w:val="0"/>
    <w:qFormat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0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uiPriority w:val="0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宋体" w:cs="Arial" w:eastAsiaTheme="minorEastAsia"/>
      <w:color w:val="auto"/>
      <w:kern w:val="0"/>
      <w:sz w:val="20"/>
      <w:szCs w:val="20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10</Pages>
  <Words>2564</Words>
  <Characters>20300</Characters>
  <CharactersWithSpaces>22662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dc:description/>
  <dc:language>ru-RU</dc:language>
  <cp:lastModifiedBy/>
  <cp:lastPrinted>2023-01-18T10:24:00Z</cp:lastPrinted>
  <dcterms:modified xsi:type="dcterms:W3CDTF">2023-02-16T12:32:09Z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2158F58EB2E54B48A04060DF448D5FB9</vt:lpwstr>
  </property>
  <property fmtid="{D5CDD505-2E9C-101B-9397-08002B2CF9AE}" pid="3" name="KSOProductBuildVer">
    <vt:lpwstr>1049-11.2.0.11417</vt:lpwstr>
  </property>
</Properties>
</file>